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C33A36" w:rsidRDefault="00C33A36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r w:rsidRPr="00C33A36">
        <w:rPr>
          <w:b/>
          <w:bCs/>
          <w:color w:val="333333"/>
          <w:sz w:val="28"/>
          <w:szCs w:val="36"/>
          <w:shd w:val="clear" w:color="auto" w:fill="FFFFFF"/>
        </w:rPr>
        <w:t>Порядок предъявления гражданского иска о возмещении ущерба, причиненного совершением преступления</w:t>
      </w:r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3A36" w:rsidRPr="00C33A36" w:rsidRDefault="002F5AA1" w:rsidP="00C33A3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33A3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C33A36" w:rsidRPr="00C33A36">
        <w:rPr>
          <w:color w:val="333333"/>
          <w:sz w:val="28"/>
          <w:szCs w:val="28"/>
        </w:rPr>
        <w:t>в соответствии со ст. 44 Уголовно-процессуального кодекса РФ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Гражданский истец может предъявить гражданский иск и для имущественной компенсации морального вреда.</w:t>
      </w:r>
    </w:p>
    <w:p w:rsidR="00C33A36" w:rsidRPr="00C33A36" w:rsidRDefault="00C33A36" w:rsidP="00C33A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33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</w:t>
      </w:r>
    </w:p>
    <w:p w:rsidR="00C33A36" w:rsidRPr="00C33A36" w:rsidRDefault="00C33A36" w:rsidP="00C33A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33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Потерпевшему необходимо представить гражданский иск либо следователю (дознавателю) до направления уголовного дела в суд, либо судье уже в ходе рассмотрения дела, но до окончания судебного следствия. Решение о признании гражданским истцом оформляется определением суда или постановлением судьи, следователя, дознавателя.</w:t>
      </w:r>
    </w:p>
    <w:p w:rsidR="00C33A36" w:rsidRPr="00C33A36" w:rsidRDefault="00C33A36" w:rsidP="00C33A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33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предъявлении гражданского иска по уголовному делу гражданский истец освобождается от уплаты государственной пошлины.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82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A7E9E"/>
    <w:rsid w:val="007E29F7"/>
    <w:rsid w:val="00820C57"/>
    <w:rsid w:val="008E7251"/>
    <w:rsid w:val="009A3F8B"/>
    <w:rsid w:val="00C33A36"/>
    <w:rsid w:val="00C36F31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57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2024-04-04T12:02:00Z</dcterms:created>
  <dcterms:modified xsi:type="dcterms:W3CDTF">2024-04-04T12:02:00Z</dcterms:modified>
</cp:coreProperties>
</file>